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4"/>
        <w:gridCol w:w="4373"/>
        <w:gridCol w:w="5760"/>
      </w:tblGrid>
      <w:tr w:rsidR="00C702CF" w14:paraId="788D9EDE" w14:textId="77777777" w:rsidTr="00823BFA">
        <w:trPr>
          <w:tblHeader/>
        </w:trPr>
        <w:tc>
          <w:tcPr>
            <w:tcW w:w="1434" w:type="dxa"/>
          </w:tcPr>
          <w:p w14:paraId="7123172C" w14:textId="609C4413" w:rsidR="00C702CF" w:rsidRPr="00823BFA" w:rsidRDefault="00C702CF">
            <w:pPr>
              <w:rPr>
                <w:b/>
                <w:bCs/>
              </w:rPr>
            </w:pPr>
            <w:r w:rsidRPr="00823BFA">
              <w:rPr>
                <w:b/>
                <w:bCs/>
              </w:rPr>
              <w:t>Country</w:t>
            </w:r>
          </w:p>
        </w:tc>
        <w:tc>
          <w:tcPr>
            <w:tcW w:w="4373" w:type="dxa"/>
          </w:tcPr>
          <w:p w14:paraId="6A3CF7AE" w14:textId="295D1227" w:rsidR="00C702CF" w:rsidRPr="00823BFA" w:rsidRDefault="00C702CF">
            <w:pPr>
              <w:rPr>
                <w:b/>
                <w:bCs/>
              </w:rPr>
            </w:pPr>
            <w:r w:rsidRPr="00823BFA">
              <w:rPr>
                <w:b/>
                <w:bCs/>
              </w:rPr>
              <w:t>What we know</w:t>
            </w:r>
          </w:p>
        </w:tc>
        <w:tc>
          <w:tcPr>
            <w:tcW w:w="5760" w:type="dxa"/>
          </w:tcPr>
          <w:p w14:paraId="3FF6C26D" w14:textId="1C830FB6" w:rsidR="00C702CF" w:rsidRPr="00823BFA" w:rsidRDefault="00C702CF">
            <w:pPr>
              <w:rPr>
                <w:b/>
                <w:bCs/>
              </w:rPr>
            </w:pPr>
            <w:r w:rsidRPr="00823BFA">
              <w:rPr>
                <w:b/>
                <w:bCs/>
              </w:rPr>
              <w:t>Relevant links</w:t>
            </w:r>
            <w:r w:rsidR="00823BFA">
              <w:rPr>
                <w:b/>
                <w:bCs/>
              </w:rPr>
              <w:t>/info</w:t>
            </w:r>
          </w:p>
        </w:tc>
      </w:tr>
      <w:tr w:rsidR="00C702CF" w14:paraId="38DA5DF2" w14:textId="77777777" w:rsidTr="00D51680">
        <w:tc>
          <w:tcPr>
            <w:tcW w:w="1434" w:type="dxa"/>
          </w:tcPr>
          <w:p w14:paraId="6C14B198" w14:textId="7BA66B7B" w:rsidR="00C702CF" w:rsidRPr="00C702CF" w:rsidRDefault="00C702CF" w:rsidP="00C702CF">
            <w:pPr>
              <w:shd w:val="clear" w:color="auto" w:fill="FFFFFF"/>
              <w:spacing w:before="100" w:beforeAutospacing="1" w:after="100" w:afterAutospacing="1"/>
              <w:rPr>
                <w:rFonts w:ascii="Calibri" w:eastAsia="Times New Roman" w:hAnsi="Calibri" w:cs="Calibri"/>
                <w:color w:val="212529"/>
                <w:sz w:val="24"/>
                <w:szCs w:val="24"/>
              </w:rPr>
            </w:pPr>
            <w:r w:rsidRPr="00C702CF">
              <w:rPr>
                <w:rFonts w:ascii="Calibri" w:eastAsia="Times New Roman" w:hAnsi="Calibri" w:cs="Calibri"/>
                <w:color w:val="212529"/>
                <w:sz w:val="24"/>
                <w:szCs w:val="24"/>
              </w:rPr>
              <w:t xml:space="preserve">Belgium </w:t>
            </w:r>
          </w:p>
        </w:tc>
        <w:tc>
          <w:tcPr>
            <w:tcW w:w="4373" w:type="dxa"/>
          </w:tcPr>
          <w:p w14:paraId="70EDF34D" w14:textId="4A31A810" w:rsidR="00C702CF" w:rsidRDefault="00FC35E5">
            <w:r>
              <w:rPr>
                <w:rFonts w:ascii="Calibri" w:eastAsia="Times New Roman" w:hAnsi="Calibri" w:cs="Calibri"/>
                <w:color w:val="212529"/>
                <w:sz w:val="24"/>
                <w:szCs w:val="24"/>
              </w:rPr>
              <w:t>18 month run off period for intermediaries.  You need to register with FSMA within two months if you intend to make use of this facility and provide it with a plan for running off relevant business.</w:t>
            </w:r>
          </w:p>
        </w:tc>
        <w:tc>
          <w:tcPr>
            <w:tcW w:w="5760" w:type="dxa"/>
          </w:tcPr>
          <w:p w14:paraId="76FA2D39" w14:textId="77777777" w:rsidR="00C702CF" w:rsidRDefault="00FC35E5">
            <w:pPr>
              <w:rPr>
                <w:rStyle w:val="Hyperlink"/>
              </w:rPr>
            </w:pPr>
            <w:hyperlink r:id="rId5" w:history="1">
              <w:r w:rsidR="00715D72">
                <w:rPr>
                  <w:rStyle w:val="Hyperlink"/>
                </w:rPr>
                <w:t>Brexit - Insurance | Lydian</w:t>
              </w:r>
            </w:hyperlink>
          </w:p>
          <w:p w14:paraId="461B8382" w14:textId="660FF852" w:rsidR="00FC35E5" w:rsidRDefault="00FC35E5">
            <w:hyperlink r:id="rId6" w:history="1">
              <w:r w:rsidRPr="00A857FE">
                <w:rPr>
                  <w:rStyle w:val="Hyperlink"/>
                  <w:rFonts w:cstheme="minorBidi"/>
                </w:rPr>
                <w:t>https://www.altius.com/blog/839/financial-services-after-brexit-the-continuity-of-legacy-insurance-contracts</w:t>
              </w:r>
            </w:hyperlink>
          </w:p>
          <w:p w14:paraId="739BBE24" w14:textId="71C5A36D" w:rsidR="00FC35E5" w:rsidRDefault="00FC35E5">
            <w:bookmarkStart w:id="0" w:name="_GoBack"/>
            <w:bookmarkEnd w:id="0"/>
          </w:p>
        </w:tc>
      </w:tr>
      <w:tr w:rsidR="00C702CF" w14:paraId="4F135610" w14:textId="77777777" w:rsidTr="00D51680">
        <w:tc>
          <w:tcPr>
            <w:tcW w:w="1434" w:type="dxa"/>
          </w:tcPr>
          <w:p w14:paraId="0412C461" w14:textId="019EAF2C" w:rsidR="00C702CF" w:rsidRPr="00C702CF" w:rsidRDefault="00C702CF" w:rsidP="00C702CF">
            <w:pPr>
              <w:shd w:val="clear" w:color="auto" w:fill="FFFFFF"/>
              <w:spacing w:before="100" w:beforeAutospacing="1" w:after="100" w:afterAutospacing="1"/>
              <w:rPr>
                <w:rFonts w:ascii="Calibri" w:eastAsia="Times New Roman" w:hAnsi="Calibri" w:cs="Calibri"/>
                <w:color w:val="212529"/>
                <w:sz w:val="24"/>
                <w:szCs w:val="24"/>
              </w:rPr>
            </w:pPr>
            <w:r>
              <w:rPr>
                <w:rFonts w:ascii="Calibri" w:eastAsia="Times New Roman" w:hAnsi="Calibri" w:cs="Calibri"/>
                <w:color w:val="212529"/>
                <w:sz w:val="24"/>
                <w:szCs w:val="24"/>
              </w:rPr>
              <w:t>France</w:t>
            </w:r>
          </w:p>
        </w:tc>
        <w:tc>
          <w:tcPr>
            <w:tcW w:w="4373" w:type="dxa"/>
          </w:tcPr>
          <w:p w14:paraId="5F047CB3" w14:textId="269AD486" w:rsidR="00C702CF" w:rsidRPr="00C702CF" w:rsidRDefault="00C702CF">
            <w:pPr>
              <w:rPr>
                <w:rFonts w:ascii="Calibri" w:eastAsia="Times New Roman" w:hAnsi="Calibri" w:cs="Calibri"/>
                <w:color w:val="212529"/>
                <w:sz w:val="24"/>
                <w:szCs w:val="24"/>
              </w:rPr>
            </w:pPr>
            <w:r>
              <w:rPr>
                <w:rFonts w:ascii="Calibri" w:eastAsia="Times New Roman" w:hAnsi="Calibri" w:cs="Calibri"/>
                <w:color w:val="212529"/>
                <w:sz w:val="24"/>
                <w:szCs w:val="24"/>
              </w:rPr>
              <w:t>No specific mention of brokers but contract</w:t>
            </w:r>
            <w:r w:rsidR="00D51680">
              <w:rPr>
                <w:rFonts w:ascii="Calibri" w:eastAsia="Times New Roman" w:hAnsi="Calibri" w:cs="Calibri"/>
                <w:color w:val="212529"/>
                <w:sz w:val="24"/>
                <w:szCs w:val="24"/>
              </w:rPr>
              <w:t>ual obligations should be met in good faith</w:t>
            </w:r>
          </w:p>
        </w:tc>
        <w:tc>
          <w:tcPr>
            <w:tcW w:w="5760" w:type="dxa"/>
          </w:tcPr>
          <w:p w14:paraId="4A30D976" w14:textId="1995BDAE" w:rsidR="00C702CF" w:rsidRPr="00D51680" w:rsidRDefault="00FC35E5" w:rsidP="00D51680">
            <w:pPr>
              <w:rPr>
                <w:rFonts w:ascii="Calibri" w:eastAsia="Times New Roman" w:hAnsi="Calibri" w:cs="Calibri"/>
                <w:lang w:eastAsia="en-GB"/>
              </w:rPr>
            </w:pPr>
            <w:hyperlink r:id="rId7" w:history="1">
              <w:r w:rsidR="00D51680" w:rsidRPr="00D51680">
                <w:rPr>
                  <w:rFonts w:ascii="Calibri" w:eastAsia="Times New Roman" w:hAnsi="Calibri" w:cs="Calibri"/>
                  <w:color w:val="0000FF"/>
                  <w:u w:val="single"/>
                  <w:lang w:eastAsia="en-GB"/>
                </w:rPr>
                <w:t>https://acpr.banque-france.fr/en/communique-de-presse/brexit-acpr-reminds-uk-financial-institutions-including-those-located-gibraltar-their-obligations</w:t>
              </w:r>
            </w:hyperlink>
          </w:p>
        </w:tc>
      </w:tr>
      <w:tr w:rsidR="00C702CF" w14:paraId="20466D01" w14:textId="77777777" w:rsidTr="00D51680">
        <w:tc>
          <w:tcPr>
            <w:tcW w:w="1434" w:type="dxa"/>
          </w:tcPr>
          <w:p w14:paraId="2C52D1ED" w14:textId="0D26DBB0" w:rsidR="00C702CF" w:rsidRPr="00C702CF" w:rsidRDefault="00C702CF" w:rsidP="00C702CF">
            <w:pPr>
              <w:shd w:val="clear" w:color="auto" w:fill="FFFFFF"/>
              <w:spacing w:before="100" w:beforeAutospacing="1" w:after="100" w:afterAutospacing="1"/>
              <w:rPr>
                <w:rFonts w:ascii="Calibri" w:eastAsia="Times New Roman" w:hAnsi="Calibri" w:cs="Calibri"/>
                <w:color w:val="212529"/>
                <w:sz w:val="24"/>
                <w:szCs w:val="24"/>
              </w:rPr>
            </w:pPr>
            <w:r w:rsidRPr="00C702CF">
              <w:rPr>
                <w:rFonts w:ascii="Calibri" w:eastAsia="Times New Roman" w:hAnsi="Calibri" w:cs="Calibri"/>
                <w:color w:val="212529"/>
                <w:sz w:val="24"/>
                <w:szCs w:val="24"/>
              </w:rPr>
              <w:t xml:space="preserve">Ireland </w:t>
            </w:r>
          </w:p>
        </w:tc>
        <w:tc>
          <w:tcPr>
            <w:tcW w:w="4373" w:type="dxa"/>
          </w:tcPr>
          <w:p w14:paraId="004C2FBE" w14:textId="2E2C045A" w:rsidR="00C702CF" w:rsidRDefault="00C702CF">
            <w:r w:rsidRPr="00C702CF">
              <w:rPr>
                <w:rFonts w:ascii="Calibri" w:eastAsia="Times New Roman" w:hAnsi="Calibri" w:cs="Calibri"/>
                <w:color w:val="212529"/>
                <w:sz w:val="24"/>
                <w:szCs w:val="24"/>
              </w:rPr>
              <w:t>a 15 year run off period</w:t>
            </w:r>
          </w:p>
        </w:tc>
        <w:tc>
          <w:tcPr>
            <w:tcW w:w="5760" w:type="dxa"/>
          </w:tcPr>
          <w:p w14:paraId="05D039CF" w14:textId="2404D604" w:rsidR="00C702CF" w:rsidRDefault="00FC35E5">
            <w:hyperlink r:id="rId8" w:history="1">
              <w:r w:rsidR="00715D72">
                <w:rPr>
                  <w:rStyle w:val="Hyperlink"/>
                </w:rPr>
                <w:t xml:space="preserve">Brexit - 15 Year Run-Off Period Proposed for Insurance Undertakings and Insurance Intermediaries - </w:t>
              </w:r>
              <w:proofErr w:type="spellStart"/>
              <w:r w:rsidR="00715D72">
                <w:rPr>
                  <w:rStyle w:val="Hyperlink"/>
                </w:rPr>
                <w:t>Lexology</w:t>
              </w:r>
              <w:proofErr w:type="spellEnd"/>
            </w:hyperlink>
          </w:p>
        </w:tc>
      </w:tr>
      <w:tr w:rsidR="00C702CF" w14:paraId="12A39E2E" w14:textId="77777777" w:rsidTr="00D51680">
        <w:tc>
          <w:tcPr>
            <w:tcW w:w="1434" w:type="dxa"/>
          </w:tcPr>
          <w:p w14:paraId="0E8622A1" w14:textId="512F7C07" w:rsidR="00C702CF" w:rsidRPr="00C702CF" w:rsidRDefault="00C702CF" w:rsidP="00C702CF">
            <w:pPr>
              <w:shd w:val="clear" w:color="auto" w:fill="FFFFFF"/>
              <w:spacing w:before="100" w:beforeAutospacing="1" w:after="100" w:afterAutospacing="1"/>
              <w:rPr>
                <w:rFonts w:ascii="Calibri" w:eastAsia="Times New Roman" w:hAnsi="Calibri" w:cs="Calibri"/>
                <w:color w:val="212529"/>
                <w:sz w:val="24"/>
                <w:szCs w:val="24"/>
              </w:rPr>
            </w:pPr>
            <w:r w:rsidRPr="00C702CF">
              <w:rPr>
                <w:rFonts w:ascii="Calibri" w:eastAsia="Times New Roman" w:hAnsi="Calibri" w:cs="Calibri"/>
                <w:color w:val="212529"/>
                <w:sz w:val="24"/>
                <w:szCs w:val="24"/>
              </w:rPr>
              <w:t>Italy</w:t>
            </w:r>
          </w:p>
        </w:tc>
        <w:tc>
          <w:tcPr>
            <w:tcW w:w="4373" w:type="dxa"/>
          </w:tcPr>
          <w:p w14:paraId="4AEB3D79" w14:textId="3285AD79" w:rsidR="00C702CF" w:rsidRDefault="00D51680">
            <w:r>
              <w:rPr>
                <w:rFonts w:ascii="Calibri" w:eastAsia="Times New Roman" w:hAnsi="Calibri" w:cs="Calibri"/>
                <w:color w:val="212529"/>
                <w:sz w:val="24"/>
                <w:szCs w:val="24"/>
              </w:rPr>
              <w:t xml:space="preserve">Run off period for insurers but </w:t>
            </w:r>
            <w:r w:rsidR="00C702CF" w:rsidRPr="00C702CF">
              <w:rPr>
                <w:rFonts w:ascii="Calibri" w:eastAsia="Times New Roman" w:hAnsi="Calibri" w:cs="Calibri"/>
                <w:color w:val="212529"/>
                <w:sz w:val="24"/>
                <w:szCs w:val="24"/>
              </w:rPr>
              <w:t xml:space="preserve">specifically stated that insurance intermediaries that are not authorised in EU must stop all activities </w:t>
            </w:r>
            <w:r w:rsidR="00C702CF">
              <w:rPr>
                <w:rFonts w:ascii="Calibri" w:eastAsia="Times New Roman" w:hAnsi="Calibri" w:cs="Calibri"/>
                <w:color w:val="212529"/>
                <w:sz w:val="24"/>
                <w:szCs w:val="24"/>
              </w:rPr>
              <w:t>from 1</w:t>
            </w:r>
            <w:r w:rsidR="00C702CF" w:rsidRPr="00C702CF">
              <w:rPr>
                <w:rFonts w:ascii="Calibri" w:eastAsia="Times New Roman" w:hAnsi="Calibri" w:cs="Calibri"/>
                <w:color w:val="212529"/>
                <w:sz w:val="24"/>
                <w:szCs w:val="24"/>
                <w:vertAlign w:val="superscript"/>
              </w:rPr>
              <w:t>st</w:t>
            </w:r>
            <w:r w:rsidR="00C702CF">
              <w:rPr>
                <w:rFonts w:ascii="Calibri" w:eastAsia="Times New Roman" w:hAnsi="Calibri" w:cs="Calibri"/>
                <w:color w:val="212529"/>
                <w:sz w:val="24"/>
                <w:szCs w:val="24"/>
              </w:rPr>
              <w:t xml:space="preserve"> January</w:t>
            </w:r>
          </w:p>
        </w:tc>
        <w:tc>
          <w:tcPr>
            <w:tcW w:w="5760" w:type="dxa"/>
          </w:tcPr>
          <w:p w14:paraId="0504AF71" w14:textId="3946DD5B" w:rsidR="00C702CF" w:rsidRDefault="00FC35E5">
            <w:hyperlink r:id="rId9" w:history="1">
              <w:r w:rsidR="00D51680" w:rsidRPr="00CB5446">
                <w:rPr>
                  <w:rStyle w:val="Hyperlink"/>
                  <w:rFonts w:cstheme="minorBidi"/>
                </w:rPr>
                <w:t>https://www.lexology.com/library/detail.aspx?g=eba56d0f-a241-4282-b776-8b36850b6d2c</w:t>
              </w:r>
            </w:hyperlink>
          </w:p>
          <w:p w14:paraId="0C87ADD0" w14:textId="77777777" w:rsidR="00D51680" w:rsidRDefault="00D51680"/>
          <w:p w14:paraId="3DA233A2" w14:textId="6EA6B557" w:rsidR="00D51680" w:rsidRDefault="00D51680"/>
        </w:tc>
      </w:tr>
      <w:tr w:rsidR="00C702CF" w14:paraId="255DCDB9" w14:textId="77777777" w:rsidTr="00D51680">
        <w:tc>
          <w:tcPr>
            <w:tcW w:w="1434" w:type="dxa"/>
          </w:tcPr>
          <w:p w14:paraId="1725B113" w14:textId="77E6C02A" w:rsidR="00C702CF" w:rsidRPr="00C702CF" w:rsidRDefault="00C702CF" w:rsidP="00C702CF">
            <w:pPr>
              <w:shd w:val="clear" w:color="auto" w:fill="FFFFFF"/>
              <w:spacing w:before="100" w:beforeAutospacing="1" w:after="100" w:afterAutospacing="1"/>
              <w:rPr>
                <w:rFonts w:ascii="Calibri" w:eastAsia="Times New Roman" w:hAnsi="Calibri" w:cs="Calibri"/>
                <w:color w:val="212529"/>
                <w:sz w:val="24"/>
                <w:szCs w:val="24"/>
              </w:rPr>
            </w:pPr>
            <w:r w:rsidRPr="00C702CF">
              <w:rPr>
                <w:rFonts w:ascii="Calibri" w:eastAsia="Times New Roman" w:hAnsi="Calibri" w:cs="Calibri"/>
                <w:color w:val="212529"/>
                <w:sz w:val="24"/>
                <w:szCs w:val="24"/>
              </w:rPr>
              <w:t xml:space="preserve">Luxembourg </w:t>
            </w:r>
          </w:p>
        </w:tc>
        <w:tc>
          <w:tcPr>
            <w:tcW w:w="4373" w:type="dxa"/>
          </w:tcPr>
          <w:p w14:paraId="1C06DA48" w14:textId="52446280" w:rsidR="00C702CF" w:rsidRDefault="00C702CF">
            <w:r w:rsidRPr="00C702CF">
              <w:rPr>
                <w:rFonts w:ascii="Calibri" w:eastAsia="Times New Roman" w:hAnsi="Calibri" w:cs="Calibri"/>
                <w:color w:val="212529"/>
                <w:sz w:val="24"/>
                <w:szCs w:val="24"/>
              </w:rPr>
              <w:t>maintains that claims handling is not a regulated activity</w:t>
            </w:r>
          </w:p>
        </w:tc>
        <w:tc>
          <w:tcPr>
            <w:tcW w:w="5760" w:type="dxa"/>
          </w:tcPr>
          <w:p w14:paraId="4DF0AE5C" w14:textId="77777777" w:rsidR="00C702CF" w:rsidRDefault="00C702CF"/>
        </w:tc>
      </w:tr>
      <w:tr w:rsidR="00C702CF" w14:paraId="6500957F" w14:textId="77777777" w:rsidTr="00D51680">
        <w:tc>
          <w:tcPr>
            <w:tcW w:w="1434" w:type="dxa"/>
          </w:tcPr>
          <w:p w14:paraId="7D340E39" w14:textId="5655583F" w:rsidR="00C702CF" w:rsidRPr="00C702CF" w:rsidRDefault="00C702CF" w:rsidP="00C702CF">
            <w:pPr>
              <w:shd w:val="clear" w:color="auto" w:fill="FFFFFF"/>
              <w:spacing w:before="100" w:beforeAutospacing="1" w:after="100" w:afterAutospacing="1"/>
              <w:rPr>
                <w:rFonts w:ascii="Calibri" w:eastAsia="Times New Roman" w:hAnsi="Calibri" w:cs="Calibri"/>
                <w:color w:val="212529"/>
                <w:sz w:val="24"/>
                <w:szCs w:val="24"/>
              </w:rPr>
            </w:pPr>
            <w:r w:rsidRPr="00C702CF">
              <w:rPr>
                <w:rFonts w:ascii="Calibri" w:eastAsia="Times New Roman" w:hAnsi="Calibri" w:cs="Calibri"/>
                <w:color w:val="212529"/>
                <w:sz w:val="24"/>
                <w:szCs w:val="24"/>
              </w:rPr>
              <w:t>Malta</w:t>
            </w:r>
          </w:p>
        </w:tc>
        <w:tc>
          <w:tcPr>
            <w:tcW w:w="4373" w:type="dxa"/>
          </w:tcPr>
          <w:p w14:paraId="51129D9D" w14:textId="23274A98" w:rsidR="00C702CF" w:rsidRDefault="00C702CF">
            <w:r w:rsidRPr="00C702CF">
              <w:rPr>
                <w:rFonts w:ascii="Calibri" w:eastAsia="Times New Roman" w:hAnsi="Calibri" w:cs="Calibri"/>
                <w:color w:val="212529"/>
                <w:sz w:val="24"/>
                <w:szCs w:val="24"/>
              </w:rPr>
              <w:t>definitively forbids endorsing existing contracts which means that much London business will not work</w:t>
            </w:r>
          </w:p>
        </w:tc>
        <w:tc>
          <w:tcPr>
            <w:tcW w:w="5760" w:type="dxa"/>
          </w:tcPr>
          <w:p w14:paraId="52356215" w14:textId="77777777" w:rsidR="00C702CF" w:rsidRDefault="00C702CF"/>
        </w:tc>
      </w:tr>
      <w:tr w:rsidR="00D51680" w14:paraId="5E774825" w14:textId="77777777" w:rsidTr="00D51680">
        <w:tc>
          <w:tcPr>
            <w:tcW w:w="1434" w:type="dxa"/>
          </w:tcPr>
          <w:p w14:paraId="220496E5" w14:textId="3D12DC82" w:rsidR="00D51680" w:rsidRPr="00C702CF" w:rsidRDefault="00D51680" w:rsidP="00C702CF">
            <w:pPr>
              <w:shd w:val="clear" w:color="auto" w:fill="FFFFFF"/>
              <w:spacing w:before="100" w:beforeAutospacing="1" w:after="100" w:afterAutospacing="1"/>
              <w:rPr>
                <w:rFonts w:ascii="Calibri" w:eastAsia="Times New Roman" w:hAnsi="Calibri" w:cs="Calibri"/>
                <w:color w:val="212529"/>
                <w:sz w:val="24"/>
                <w:szCs w:val="24"/>
              </w:rPr>
            </w:pPr>
            <w:r>
              <w:rPr>
                <w:rFonts w:ascii="Calibri" w:eastAsia="Times New Roman" w:hAnsi="Calibri" w:cs="Calibri"/>
                <w:color w:val="212529"/>
                <w:sz w:val="24"/>
                <w:szCs w:val="24"/>
              </w:rPr>
              <w:t>Netherlands</w:t>
            </w:r>
          </w:p>
        </w:tc>
        <w:tc>
          <w:tcPr>
            <w:tcW w:w="4373" w:type="dxa"/>
          </w:tcPr>
          <w:p w14:paraId="251D95DA" w14:textId="06C1837F" w:rsidR="00D51680" w:rsidRDefault="00D51680">
            <w:r>
              <w:t>Unauthorised firms must cease trading form 1 January</w:t>
            </w:r>
          </w:p>
        </w:tc>
        <w:tc>
          <w:tcPr>
            <w:tcW w:w="5760" w:type="dxa"/>
          </w:tcPr>
          <w:p w14:paraId="6C854E14" w14:textId="6EC7A0DA" w:rsidR="00D51680" w:rsidRDefault="00FC35E5">
            <w:hyperlink r:id="rId10" w:history="1">
              <w:r w:rsidR="00D51680" w:rsidRPr="00CB5446">
                <w:rPr>
                  <w:rStyle w:val="Hyperlink"/>
                  <w:rFonts w:cstheme="minorBidi"/>
                </w:rPr>
                <w:t>https://www.afm.nl/en/professionals/onderwerpen/brexit</w:t>
              </w:r>
            </w:hyperlink>
          </w:p>
          <w:p w14:paraId="7B0A8AAF" w14:textId="245503F3" w:rsidR="00D51680" w:rsidRDefault="00D51680"/>
        </w:tc>
      </w:tr>
      <w:tr w:rsidR="00C702CF" w14:paraId="7484DED0" w14:textId="77777777" w:rsidTr="00D51680">
        <w:tc>
          <w:tcPr>
            <w:tcW w:w="1434" w:type="dxa"/>
          </w:tcPr>
          <w:p w14:paraId="65EE53E1" w14:textId="34A6499F" w:rsidR="00C702CF" w:rsidRPr="00C702CF" w:rsidRDefault="00C702CF" w:rsidP="00C702CF">
            <w:pPr>
              <w:shd w:val="clear" w:color="auto" w:fill="FFFFFF"/>
              <w:spacing w:before="100" w:beforeAutospacing="1" w:after="100" w:afterAutospacing="1"/>
              <w:rPr>
                <w:rFonts w:ascii="Calibri" w:eastAsia="Times New Roman" w:hAnsi="Calibri" w:cs="Calibri"/>
                <w:color w:val="212529"/>
                <w:sz w:val="24"/>
                <w:szCs w:val="24"/>
              </w:rPr>
            </w:pPr>
            <w:r w:rsidRPr="00C702CF">
              <w:rPr>
                <w:rFonts w:ascii="Calibri" w:eastAsia="Times New Roman" w:hAnsi="Calibri" w:cs="Calibri"/>
                <w:color w:val="212529"/>
                <w:sz w:val="24"/>
                <w:szCs w:val="24"/>
              </w:rPr>
              <w:t>Poland</w:t>
            </w:r>
          </w:p>
        </w:tc>
        <w:tc>
          <w:tcPr>
            <w:tcW w:w="4373" w:type="dxa"/>
          </w:tcPr>
          <w:p w14:paraId="0314BB81" w14:textId="77777777" w:rsidR="00C702CF" w:rsidRDefault="00C702CF"/>
        </w:tc>
        <w:tc>
          <w:tcPr>
            <w:tcW w:w="5760" w:type="dxa"/>
          </w:tcPr>
          <w:p w14:paraId="4D69F265" w14:textId="77777777" w:rsidR="00C702CF" w:rsidRDefault="00C702CF"/>
        </w:tc>
      </w:tr>
      <w:tr w:rsidR="00361EA3" w14:paraId="503CB990" w14:textId="77777777" w:rsidTr="00D51680">
        <w:tc>
          <w:tcPr>
            <w:tcW w:w="1434" w:type="dxa"/>
          </w:tcPr>
          <w:p w14:paraId="34E09971" w14:textId="43D091CE" w:rsidR="00361EA3" w:rsidRPr="00C702CF" w:rsidRDefault="00361EA3" w:rsidP="00C702CF">
            <w:pPr>
              <w:shd w:val="clear" w:color="auto" w:fill="FFFFFF"/>
              <w:spacing w:before="100" w:beforeAutospacing="1" w:after="100" w:afterAutospacing="1"/>
              <w:rPr>
                <w:rFonts w:ascii="Calibri" w:eastAsia="Times New Roman" w:hAnsi="Calibri" w:cs="Calibri"/>
                <w:color w:val="212529"/>
                <w:sz w:val="24"/>
                <w:szCs w:val="24"/>
              </w:rPr>
            </w:pPr>
            <w:r>
              <w:rPr>
                <w:rFonts w:ascii="Calibri" w:eastAsia="Times New Roman" w:hAnsi="Calibri" w:cs="Calibri"/>
                <w:color w:val="212529"/>
                <w:sz w:val="24"/>
                <w:szCs w:val="24"/>
              </w:rPr>
              <w:t>Portugal</w:t>
            </w:r>
          </w:p>
        </w:tc>
        <w:tc>
          <w:tcPr>
            <w:tcW w:w="4373" w:type="dxa"/>
          </w:tcPr>
          <w:p w14:paraId="276B4205" w14:textId="299513FD" w:rsidR="00361EA3" w:rsidRDefault="00361EA3">
            <w:r>
              <w:t>Temporary Permissions regime to allow the conclusion of insurance contracts in place.  It looks as though endorsements in favour of the policyholder would be allowable but unclear if the regime extends to intermediaries</w:t>
            </w:r>
          </w:p>
        </w:tc>
        <w:tc>
          <w:tcPr>
            <w:tcW w:w="5760" w:type="dxa"/>
          </w:tcPr>
          <w:p w14:paraId="602CF821" w14:textId="70851CBB" w:rsidR="00361EA3" w:rsidRDefault="00FC35E5" w:rsidP="00D51680">
            <w:hyperlink r:id="rId11" w:history="1">
              <w:r w:rsidR="00361EA3" w:rsidRPr="0000096C">
                <w:rPr>
                  <w:rStyle w:val="Hyperlink"/>
                  <w:rFonts w:cstheme="minorBidi"/>
                </w:rPr>
                <w:t>https://www.lexology.com/library/detail.aspx?g=7fbd061b-3165-47d3-8f6a-519dd9216988</w:t>
              </w:r>
            </w:hyperlink>
          </w:p>
          <w:p w14:paraId="58D0759C" w14:textId="5B36CB95" w:rsidR="00361EA3" w:rsidRPr="00D51680" w:rsidRDefault="00361EA3" w:rsidP="00D51680"/>
        </w:tc>
      </w:tr>
      <w:tr w:rsidR="00C702CF" w14:paraId="6DAEC98B" w14:textId="77777777" w:rsidTr="00D51680">
        <w:tc>
          <w:tcPr>
            <w:tcW w:w="1434" w:type="dxa"/>
          </w:tcPr>
          <w:p w14:paraId="71D34DF7" w14:textId="6576C311" w:rsidR="00C702CF" w:rsidRPr="00C702CF" w:rsidRDefault="00C702CF" w:rsidP="00C702CF">
            <w:pPr>
              <w:shd w:val="clear" w:color="auto" w:fill="FFFFFF"/>
              <w:spacing w:before="100" w:beforeAutospacing="1" w:after="100" w:afterAutospacing="1"/>
              <w:rPr>
                <w:rFonts w:ascii="Calibri" w:eastAsia="Times New Roman" w:hAnsi="Calibri" w:cs="Calibri"/>
                <w:color w:val="212529"/>
                <w:sz w:val="24"/>
                <w:szCs w:val="24"/>
              </w:rPr>
            </w:pPr>
            <w:r w:rsidRPr="00C702CF">
              <w:rPr>
                <w:rFonts w:ascii="Calibri" w:eastAsia="Times New Roman" w:hAnsi="Calibri" w:cs="Calibri"/>
                <w:color w:val="212529"/>
                <w:sz w:val="24"/>
                <w:szCs w:val="24"/>
              </w:rPr>
              <w:lastRenderedPageBreak/>
              <w:t>Spain</w:t>
            </w:r>
          </w:p>
        </w:tc>
        <w:tc>
          <w:tcPr>
            <w:tcW w:w="4373" w:type="dxa"/>
          </w:tcPr>
          <w:p w14:paraId="52630267" w14:textId="58CE1BC8" w:rsidR="00C702CF" w:rsidRDefault="00D51680">
            <w:r>
              <w:t>Run off period until June 2021</w:t>
            </w:r>
          </w:p>
        </w:tc>
        <w:tc>
          <w:tcPr>
            <w:tcW w:w="5760" w:type="dxa"/>
          </w:tcPr>
          <w:p w14:paraId="05A95361" w14:textId="180C7F58" w:rsidR="00D51680" w:rsidRPr="00D51680" w:rsidRDefault="00D51680" w:rsidP="00D51680">
            <w:r w:rsidRPr="00D51680">
              <w:t xml:space="preserve">As from 1 January 2021, the institutions referred to in paragraph 1 shall be subject to the rules laid down by the sectoral legislation for institutions of third countries for the provision of banking, securities, insurance, or other financial services, and new authorization </w:t>
            </w:r>
            <w:r>
              <w:t>must</w:t>
            </w:r>
            <w:r w:rsidRPr="00D51680">
              <w:t xml:space="preserve"> be obtained in the following cases </w:t>
            </w:r>
          </w:p>
          <w:p w14:paraId="4BF06D28" w14:textId="77777777" w:rsidR="00D51680" w:rsidRPr="00D51680" w:rsidRDefault="00D51680" w:rsidP="00D51680"/>
          <w:p w14:paraId="619864DB" w14:textId="77777777" w:rsidR="00D51680" w:rsidRPr="00D51680" w:rsidRDefault="00D51680" w:rsidP="00D51680">
            <w:r w:rsidRPr="00D51680">
              <w:t xml:space="preserve">a) For the renewal of contracts signed before January 1, 2021. </w:t>
            </w:r>
          </w:p>
          <w:p w14:paraId="2E6210C8" w14:textId="77777777" w:rsidR="00D51680" w:rsidRPr="00D51680" w:rsidRDefault="00D51680" w:rsidP="00D51680"/>
          <w:p w14:paraId="032A9FBA" w14:textId="77777777" w:rsidR="00D51680" w:rsidRPr="00D51680" w:rsidRDefault="00D51680" w:rsidP="00D51680">
            <w:r w:rsidRPr="00D51680">
              <w:t xml:space="preserve">b) For the introduction of amendments to contracts entered into prior to January 1, 2021, which involve the provision of new services in Spain or which affect essential obligations of the parties. </w:t>
            </w:r>
          </w:p>
          <w:p w14:paraId="153E5899" w14:textId="77777777" w:rsidR="00D51680" w:rsidRPr="00D51680" w:rsidRDefault="00D51680" w:rsidP="00D51680"/>
          <w:p w14:paraId="13D997A4" w14:textId="77777777" w:rsidR="00D51680" w:rsidRPr="00D51680" w:rsidRDefault="00D51680" w:rsidP="00D51680">
            <w:r w:rsidRPr="00D51680">
              <w:t xml:space="preserve">c) In those cases in which the activities related to the management of the contracts require authorization. </w:t>
            </w:r>
          </w:p>
          <w:p w14:paraId="1D9B1F95" w14:textId="77777777" w:rsidR="00D51680" w:rsidRPr="00D51680" w:rsidRDefault="00D51680" w:rsidP="00D51680"/>
          <w:p w14:paraId="63176906" w14:textId="77777777" w:rsidR="00D51680" w:rsidRPr="00D51680" w:rsidRDefault="00D51680" w:rsidP="00D51680">
            <w:r w:rsidRPr="00D51680">
              <w:t xml:space="preserve">d) For the conclusion of new contracts. </w:t>
            </w:r>
          </w:p>
          <w:p w14:paraId="1424F97A" w14:textId="77777777" w:rsidR="00D51680" w:rsidRPr="00D51680" w:rsidRDefault="00D51680" w:rsidP="00D51680"/>
          <w:p w14:paraId="69837F2E" w14:textId="77777777" w:rsidR="00D51680" w:rsidRPr="00D51680" w:rsidRDefault="00D51680" w:rsidP="00D51680">
            <w:r w:rsidRPr="00D51680">
              <w:t xml:space="preserve">Activities derived from the management of contracts entered into prior to January 1, 2021, and which do not fall under any of the cases indicated in letters a) to c) will not require new authorization. </w:t>
            </w:r>
          </w:p>
          <w:p w14:paraId="74B2FAF3" w14:textId="77777777" w:rsidR="00D51680" w:rsidRPr="00D51680" w:rsidRDefault="00D51680" w:rsidP="00D51680"/>
          <w:p w14:paraId="1152240E" w14:textId="77777777" w:rsidR="00D51680" w:rsidRPr="00D51680" w:rsidRDefault="00D51680" w:rsidP="00D51680">
            <w:r w:rsidRPr="00D51680">
              <w:t xml:space="preserve">Notwithstanding the provisions of the preceding paragraph, the authorization or registration initially granted by the competent British authority to the entities referred to in paragraph 1 shall remain provisionally in force until June 30, 2021, to carry out the activities that are necessary for the purposes of carrying out the ordered termination or assignment of the contracts entered into prior to January 1, </w:t>
            </w:r>
            <w:r w:rsidRPr="00D51680">
              <w:lastRenderedPageBreak/>
              <w:t xml:space="preserve">2021 to entities duly authorized to provide financial services in Spain under the terms of the contract. </w:t>
            </w:r>
          </w:p>
          <w:p w14:paraId="173DF698" w14:textId="77777777" w:rsidR="00D51680" w:rsidRPr="00D51680" w:rsidRDefault="00D51680" w:rsidP="00D51680"/>
          <w:p w14:paraId="3B60050E" w14:textId="77777777" w:rsidR="00C702CF" w:rsidRDefault="00C702CF"/>
        </w:tc>
      </w:tr>
    </w:tbl>
    <w:p w14:paraId="117DB954" w14:textId="77777777" w:rsidR="0001088E" w:rsidRDefault="0001088E"/>
    <w:sectPr w:rsidR="0001088E" w:rsidSect="00D516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753F"/>
    <w:multiLevelType w:val="multilevel"/>
    <w:tmpl w:val="7C9E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CF"/>
    <w:rsid w:val="0001088E"/>
    <w:rsid w:val="00361EA3"/>
    <w:rsid w:val="00715D72"/>
    <w:rsid w:val="00823BFA"/>
    <w:rsid w:val="00C702CF"/>
    <w:rsid w:val="00D51680"/>
    <w:rsid w:val="00FC35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6ACA"/>
  <w15:chartTrackingRefBased/>
  <w15:docId w15:val="{39D621FF-4C6F-4209-98DF-DBB6B101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680"/>
    <w:rPr>
      <w:rFonts w:cs="Times New Roman"/>
      <w:color w:val="0000FF"/>
      <w:u w:val="single"/>
    </w:rPr>
  </w:style>
  <w:style w:type="character" w:styleId="UnresolvedMention">
    <w:name w:val="Unresolved Mention"/>
    <w:basedOn w:val="DefaultParagraphFont"/>
    <w:uiPriority w:val="99"/>
    <w:semiHidden/>
    <w:unhideWhenUsed/>
    <w:rsid w:val="00D51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ology.com/library/detail.aspx?g=24a4ef89-a73d-45f7-81c1-4d9996d33b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365.eu.vadesecure.com/safeproxy/v4?f=mlhxXqGa7X_49XyaiO7l-2zInZk8xJRYQ5LsWD-10g8&amp;i=kvVxNjRwj-JJCEO-50j0c1hYkY889jLKx6UVVsmlUssmJW4S5IbpB-A4o1848iM2K5HMh3dc8_hPZektflL8Kw&amp;k=hig6&amp;r=vPiiwt3ljzpu4udnmM27CWotAj_8Jzxn8QAk1YtL3z4hWRizOpMyFcj31C7YFpAn&amp;s=b0209257c4bc2ba570b9959478c49b009ff88d8ce3746d1b10e28b840d3af5fc&amp;u=https%3A%2F%2Facpr.banque-france.fr%2Fen%2Fcommunique-de-presse%2Fbrexit-acpr-reminds-uk-financial-institutions-including-those-located-gibraltar-their-oblig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ius.com/blog/839/financial-services-after-brexit-the-continuity-of-legacy-insurance-contracts" TargetMode="External"/><Relationship Id="rId11" Type="http://schemas.openxmlformats.org/officeDocument/2006/relationships/hyperlink" Target="https://www.lexology.com/library/detail.aspx?g=7fbd061b-3165-47d3-8f6a-519dd9216988" TargetMode="External"/><Relationship Id="rId5" Type="http://schemas.openxmlformats.org/officeDocument/2006/relationships/hyperlink" Target="https://www.lydian.be/en/brexit-insurance" TargetMode="External"/><Relationship Id="rId10" Type="http://schemas.openxmlformats.org/officeDocument/2006/relationships/hyperlink" Target="https://www.afm.nl/en/professionals/onderwerpen/brexit" TargetMode="External"/><Relationship Id="rId4" Type="http://schemas.openxmlformats.org/officeDocument/2006/relationships/webSettings" Target="webSettings.xml"/><Relationship Id="rId9" Type="http://schemas.openxmlformats.org/officeDocument/2006/relationships/hyperlink" Target="https://www.lexology.com/library/detail.aspx?g=eba56d0f-a241-4282-b776-8b36850b6d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Croft</dc:creator>
  <cp:keywords/>
  <dc:description/>
  <cp:lastModifiedBy>Christopher Croft</cp:lastModifiedBy>
  <cp:revision>3</cp:revision>
  <dcterms:created xsi:type="dcterms:W3CDTF">2021-01-08T15:33:00Z</dcterms:created>
  <dcterms:modified xsi:type="dcterms:W3CDTF">2021-01-14T12:43:00Z</dcterms:modified>
</cp:coreProperties>
</file>